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黑体" w:hAnsi="黑体" w:eastAsia="黑体" w:cs="黑体"/>
          <w:b w:val="0"/>
          <w:bCs w:val="0"/>
          <w:color w:val="000000"/>
          <w:spacing w:val="15"/>
          <w:kern w:val="0"/>
          <w:sz w:val="36"/>
          <w:szCs w:val="36"/>
        </w:rPr>
      </w:pPr>
      <w:r>
        <w:rPr>
          <w:rFonts w:hint="eastAsia" w:ascii="黑体" w:hAnsi="黑体" w:eastAsia="黑体" w:cs="黑体"/>
          <w:b w:val="0"/>
          <w:bCs w:val="0"/>
          <w:color w:val="000000"/>
          <w:spacing w:val="15"/>
          <w:kern w:val="0"/>
          <w:sz w:val="36"/>
          <w:szCs w:val="36"/>
        </w:rPr>
        <w:t>关于</w:t>
      </w:r>
      <w:r>
        <w:rPr>
          <w:rFonts w:hint="eastAsia" w:ascii="黑体" w:hAnsi="黑体" w:eastAsia="黑体" w:cs="黑体"/>
          <w:b w:val="0"/>
          <w:bCs w:val="0"/>
          <w:color w:val="000000"/>
          <w:spacing w:val="15"/>
          <w:kern w:val="0"/>
          <w:sz w:val="36"/>
          <w:szCs w:val="36"/>
          <w:highlight w:val="none"/>
        </w:rPr>
        <w:t>201</w:t>
      </w:r>
      <w:r>
        <w:rPr>
          <w:rFonts w:hint="eastAsia" w:ascii="黑体" w:hAnsi="黑体" w:eastAsia="黑体" w:cs="黑体"/>
          <w:b w:val="0"/>
          <w:bCs w:val="0"/>
          <w:color w:val="000000"/>
          <w:spacing w:val="15"/>
          <w:kern w:val="0"/>
          <w:sz w:val="36"/>
          <w:szCs w:val="36"/>
          <w:highlight w:val="none"/>
          <w:lang w:val="en-US" w:eastAsia="zh-CN"/>
        </w:rPr>
        <w:t>9</w:t>
      </w:r>
      <w:r>
        <w:rPr>
          <w:rFonts w:hint="eastAsia" w:ascii="黑体" w:hAnsi="黑体" w:eastAsia="黑体" w:cs="黑体"/>
          <w:b w:val="0"/>
          <w:bCs w:val="0"/>
          <w:color w:val="000000"/>
          <w:spacing w:val="15"/>
          <w:kern w:val="0"/>
          <w:sz w:val="36"/>
          <w:szCs w:val="36"/>
          <w:highlight w:val="none"/>
        </w:rPr>
        <w:t>年</w:t>
      </w:r>
      <w:r>
        <w:rPr>
          <w:rFonts w:hint="eastAsia" w:ascii="黑体" w:hAnsi="黑体" w:eastAsia="黑体" w:cs="黑体"/>
          <w:b w:val="0"/>
          <w:bCs w:val="0"/>
          <w:color w:val="000000"/>
          <w:spacing w:val="15"/>
          <w:kern w:val="0"/>
          <w:sz w:val="36"/>
          <w:szCs w:val="36"/>
          <w:highlight w:val="none"/>
          <w:lang w:val="en-US" w:eastAsia="zh-CN"/>
        </w:rPr>
        <w:t>上</w:t>
      </w:r>
      <w:r>
        <w:rPr>
          <w:rFonts w:hint="eastAsia" w:ascii="黑体" w:hAnsi="黑体" w:eastAsia="黑体" w:cs="黑体"/>
          <w:b w:val="0"/>
          <w:bCs w:val="0"/>
          <w:color w:val="000000"/>
          <w:spacing w:val="15"/>
          <w:kern w:val="0"/>
          <w:sz w:val="36"/>
          <w:szCs w:val="36"/>
          <w:highlight w:val="none"/>
          <w:lang w:eastAsia="zh-CN"/>
        </w:rPr>
        <w:t>半</w:t>
      </w:r>
      <w:r>
        <w:rPr>
          <w:rFonts w:hint="eastAsia" w:ascii="黑体" w:hAnsi="黑体" w:eastAsia="黑体" w:cs="黑体"/>
          <w:b w:val="0"/>
          <w:bCs w:val="0"/>
          <w:color w:val="000000"/>
          <w:spacing w:val="15"/>
          <w:kern w:val="0"/>
          <w:sz w:val="36"/>
          <w:szCs w:val="36"/>
          <w:lang w:eastAsia="zh-CN"/>
        </w:rPr>
        <w:t>年</w:t>
      </w:r>
      <w:r>
        <w:rPr>
          <w:rFonts w:hint="eastAsia" w:ascii="黑体" w:hAnsi="黑体" w:eastAsia="黑体" w:cs="黑体"/>
          <w:b w:val="0"/>
          <w:bCs w:val="0"/>
          <w:color w:val="000000"/>
          <w:spacing w:val="15"/>
          <w:kern w:val="0"/>
          <w:sz w:val="36"/>
          <w:szCs w:val="36"/>
        </w:rPr>
        <w:t>博士学位论文资格审查</w:t>
      </w:r>
    </w:p>
    <w:p>
      <w:pPr>
        <w:widowControl/>
        <w:adjustRightInd w:val="0"/>
        <w:snapToGrid w:val="0"/>
        <w:spacing w:line="360" w:lineRule="auto"/>
        <w:jc w:val="center"/>
        <w:rPr>
          <w:rFonts w:hint="eastAsia" w:ascii="黑体" w:hAnsi="黑体" w:eastAsia="黑体" w:cs="黑体"/>
          <w:b w:val="0"/>
          <w:bCs w:val="0"/>
          <w:color w:val="000000"/>
          <w:spacing w:val="15"/>
          <w:kern w:val="0"/>
          <w:sz w:val="36"/>
          <w:szCs w:val="36"/>
        </w:rPr>
      </w:pPr>
      <w:r>
        <w:rPr>
          <w:rFonts w:hint="eastAsia" w:ascii="黑体" w:hAnsi="黑体" w:eastAsia="黑体" w:cs="黑体"/>
          <w:b w:val="0"/>
          <w:bCs w:val="0"/>
          <w:color w:val="000000"/>
          <w:spacing w:val="15"/>
          <w:kern w:val="0"/>
          <w:sz w:val="36"/>
          <w:szCs w:val="36"/>
          <w:lang w:eastAsia="zh-CN"/>
        </w:rPr>
        <w:t>及</w:t>
      </w:r>
      <w:r>
        <w:rPr>
          <w:rFonts w:hint="eastAsia" w:ascii="黑体" w:hAnsi="黑体" w:eastAsia="黑体" w:cs="黑体"/>
          <w:b w:val="0"/>
          <w:bCs w:val="0"/>
          <w:color w:val="000000"/>
          <w:spacing w:val="15"/>
          <w:kern w:val="0"/>
          <w:sz w:val="36"/>
          <w:szCs w:val="36"/>
        </w:rPr>
        <w:t>答辩工作的通知</w:t>
      </w:r>
    </w:p>
    <w:p>
      <w:pPr>
        <w:widowControl/>
        <w:adjustRightInd w:val="0"/>
        <w:snapToGrid w:val="0"/>
        <w:spacing w:line="500" w:lineRule="exact"/>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全校各研究生培养单位：</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highlight w:val="none"/>
        </w:rPr>
        <w:t>201</w:t>
      </w:r>
      <w:r>
        <w:rPr>
          <w:rFonts w:hint="eastAsia" w:ascii="宋体" w:hAnsi="宋体" w:cs="宋体"/>
          <w:color w:val="000000"/>
          <w:spacing w:val="15"/>
          <w:kern w:val="0"/>
          <w:sz w:val="28"/>
          <w:szCs w:val="28"/>
          <w:highlight w:val="none"/>
          <w:lang w:val="en-US" w:eastAsia="zh-CN"/>
        </w:rPr>
        <w:t>9</w:t>
      </w:r>
      <w:r>
        <w:rPr>
          <w:rFonts w:hint="eastAsia" w:ascii="宋体" w:hAnsi="宋体" w:cs="宋体"/>
          <w:color w:val="000000"/>
          <w:spacing w:val="15"/>
          <w:kern w:val="0"/>
          <w:sz w:val="28"/>
          <w:szCs w:val="28"/>
          <w:highlight w:val="none"/>
        </w:rPr>
        <w:t>年</w:t>
      </w:r>
      <w:r>
        <w:rPr>
          <w:rFonts w:hint="eastAsia" w:ascii="宋体" w:hAnsi="宋体" w:cs="宋体"/>
          <w:color w:val="000000"/>
          <w:spacing w:val="15"/>
          <w:kern w:val="0"/>
          <w:sz w:val="28"/>
          <w:szCs w:val="28"/>
          <w:highlight w:val="none"/>
          <w:lang w:eastAsia="zh-CN"/>
        </w:rPr>
        <w:t>上半</w:t>
      </w:r>
      <w:r>
        <w:rPr>
          <w:rFonts w:hint="eastAsia" w:ascii="宋体" w:hAnsi="宋体" w:cs="宋体"/>
          <w:color w:val="000000"/>
          <w:spacing w:val="15"/>
          <w:kern w:val="0"/>
          <w:sz w:val="28"/>
          <w:szCs w:val="28"/>
          <w:lang w:eastAsia="zh-CN"/>
        </w:rPr>
        <w:t>年</w:t>
      </w:r>
      <w:r>
        <w:rPr>
          <w:rFonts w:hint="eastAsia" w:ascii="宋体" w:hAnsi="宋体" w:cs="宋体"/>
          <w:color w:val="000000"/>
          <w:spacing w:val="15"/>
          <w:kern w:val="0"/>
          <w:sz w:val="28"/>
          <w:szCs w:val="28"/>
        </w:rPr>
        <w:t>博士学位论文答辩工作即将开始，现将有关答辩资格审查工作通知如下：</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一、资格审查需提交的材料</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研究生攻读博士学位期间的成绩单和学位论文。</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武汉大学博士学位论文答辩资格审查表（纸质，需签字、盖章），此表见《武汉大学博士学位申请表》，表中代表性成果限填2项，所填成果应该包括全部作者、题目、期刊名称、类别（如SCI、EI、SSCI、A&amp;HCI等）、发表时间、卷期、页码等详细信息。</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申请博士学位要求发表的资格论文原件。</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二、资格审查程序</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培养单位</w:t>
      </w:r>
      <w:r>
        <w:rPr>
          <w:rFonts w:hint="eastAsia" w:ascii="宋体" w:hAnsi="宋体" w:cs="宋体"/>
          <w:color w:val="000000"/>
          <w:spacing w:val="15"/>
          <w:kern w:val="0"/>
          <w:sz w:val="28"/>
          <w:szCs w:val="28"/>
          <w:lang w:eastAsia="zh-CN"/>
        </w:rPr>
        <w:t>初</w:t>
      </w:r>
      <w:r>
        <w:rPr>
          <w:rFonts w:hint="eastAsia" w:ascii="宋体" w:hAnsi="宋体" w:cs="宋体"/>
          <w:color w:val="000000"/>
          <w:spacing w:val="15"/>
          <w:kern w:val="0"/>
          <w:sz w:val="28"/>
          <w:szCs w:val="28"/>
        </w:rPr>
        <w:t>审：各培养单位研究生教学</w:t>
      </w:r>
      <w:r>
        <w:rPr>
          <w:rFonts w:hint="eastAsia" w:ascii="宋体" w:hAnsi="宋体" w:cs="宋体"/>
          <w:color w:val="000000"/>
          <w:spacing w:val="15"/>
          <w:kern w:val="0"/>
          <w:sz w:val="28"/>
          <w:szCs w:val="28"/>
          <w:lang w:eastAsia="zh-CN"/>
        </w:rPr>
        <w:t>干部</w:t>
      </w:r>
      <w:r>
        <w:rPr>
          <w:rFonts w:hint="eastAsia" w:ascii="宋体" w:hAnsi="宋体" w:cs="宋体"/>
          <w:color w:val="000000"/>
          <w:spacing w:val="15"/>
          <w:kern w:val="0"/>
          <w:sz w:val="28"/>
          <w:szCs w:val="28"/>
        </w:rPr>
        <w:t>、研究生教育负责人对博士学位论文的答辩资格进行审核，在资格审查表中签字、盖章。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研究生院审定：培养单位完成论文答辩资格初审后，由博士生本人或单位集中携带</w:t>
      </w:r>
      <w:r>
        <w:rPr>
          <w:rFonts w:hint="eastAsia" w:ascii="宋体" w:hAnsi="宋体" w:cs="宋体"/>
          <w:color w:val="000000"/>
          <w:spacing w:val="15"/>
          <w:kern w:val="0"/>
          <w:sz w:val="28"/>
          <w:szCs w:val="28"/>
          <w:lang w:eastAsia="zh-CN"/>
        </w:rPr>
        <w:t>相关</w:t>
      </w:r>
      <w:r>
        <w:rPr>
          <w:rFonts w:hint="eastAsia" w:ascii="宋体" w:hAnsi="宋体" w:cs="宋体"/>
          <w:color w:val="000000"/>
          <w:spacing w:val="15"/>
          <w:kern w:val="0"/>
          <w:sz w:val="28"/>
          <w:szCs w:val="28"/>
        </w:rPr>
        <w:t>材料到研究生院217室完成资格审定，由审核人在资格审查表中签署意见、盖章。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通过答辩资格审定的博士学位论文</w:t>
      </w:r>
      <w:r>
        <w:rPr>
          <w:rFonts w:hint="eastAsia" w:ascii="宋体" w:hAnsi="宋体" w:cs="宋体"/>
          <w:color w:val="000000"/>
          <w:spacing w:val="15"/>
          <w:kern w:val="0"/>
          <w:sz w:val="28"/>
          <w:szCs w:val="28"/>
          <w:lang w:eastAsia="zh-CN"/>
        </w:rPr>
        <w:t>才能</w:t>
      </w:r>
      <w:r>
        <w:rPr>
          <w:rFonts w:hint="eastAsia" w:ascii="宋体" w:hAnsi="宋体" w:cs="宋体"/>
          <w:color w:val="000000"/>
          <w:spacing w:val="15"/>
          <w:kern w:val="0"/>
          <w:sz w:val="28"/>
          <w:szCs w:val="28"/>
        </w:rPr>
        <w:t>进入“双盲”评审程序，上传到教育部学位中心</w:t>
      </w:r>
      <w:r>
        <w:rPr>
          <w:rFonts w:hint="eastAsia" w:ascii="宋体" w:hAnsi="宋体" w:cs="宋体"/>
          <w:color w:val="000000"/>
          <w:spacing w:val="15"/>
          <w:kern w:val="0"/>
          <w:sz w:val="28"/>
          <w:szCs w:val="28"/>
          <w:lang w:eastAsia="zh-CN"/>
        </w:rPr>
        <w:t>平台</w:t>
      </w:r>
      <w:r>
        <w:rPr>
          <w:rFonts w:hint="eastAsia" w:ascii="宋体" w:hAnsi="宋体" w:cs="宋体"/>
          <w:color w:val="000000"/>
          <w:spacing w:val="15"/>
          <w:kern w:val="0"/>
          <w:sz w:val="28"/>
          <w:szCs w:val="28"/>
        </w:rPr>
        <w:t>进行</w:t>
      </w:r>
      <w:r>
        <w:rPr>
          <w:rFonts w:hint="eastAsia" w:ascii="宋体" w:hAnsi="宋体" w:cs="宋体"/>
          <w:color w:val="000000"/>
          <w:spacing w:val="15"/>
          <w:kern w:val="0"/>
          <w:sz w:val="28"/>
          <w:szCs w:val="28"/>
          <w:lang w:eastAsia="zh-CN"/>
        </w:rPr>
        <w:t>论文</w:t>
      </w:r>
      <w:r>
        <w:rPr>
          <w:rFonts w:hint="eastAsia" w:ascii="宋体" w:hAnsi="宋体" w:cs="宋体"/>
          <w:color w:val="000000"/>
          <w:spacing w:val="15"/>
          <w:kern w:val="0"/>
          <w:sz w:val="28"/>
          <w:szCs w:val="28"/>
        </w:rPr>
        <w:t>评审。</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三、资格审查工作要求</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各培养单位要高度重视博士</w:t>
      </w:r>
      <w:r>
        <w:rPr>
          <w:rFonts w:hint="eastAsia" w:ascii="宋体" w:hAnsi="宋体" w:cs="宋体"/>
          <w:color w:val="000000"/>
          <w:spacing w:val="15"/>
          <w:kern w:val="0"/>
          <w:sz w:val="28"/>
          <w:szCs w:val="28"/>
          <w:lang w:eastAsia="zh-CN"/>
        </w:rPr>
        <w:t>学位</w:t>
      </w:r>
      <w:r>
        <w:rPr>
          <w:rFonts w:hint="eastAsia" w:ascii="宋体" w:hAnsi="宋体" w:cs="宋体"/>
          <w:color w:val="000000"/>
          <w:spacing w:val="15"/>
          <w:kern w:val="0"/>
          <w:sz w:val="28"/>
          <w:szCs w:val="28"/>
        </w:rPr>
        <w:t>论文答辩资格审查工作，</w:t>
      </w:r>
      <w:r>
        <w:rPr>
          <w:rFonts w:hint="eastAsia" w:ascii="宋体" w:hAnsi="宋体" w:cs="宋体"/>
          <w:color w:val="000000"/>
          <w:spacing w:val="15"/>
          <w:kern w:val="0"/>
          <w:sz w:val="28"/>
          <w:szCs w:val="28"/>
          <w:lang w:eastAsia="zh-CN"/>
        </w:rPr>
        <w:t>需</w:t>
      </w:r>
      <w:r>
        <w:rPr>
          <w:rFonts w:hint="eastAsia" w:ascii="宋体" w:hAnsi="宋体" w:cs="宋体"/>
          <w:color w:val="000000"/>
          <w:spacing w:val="15"/>
          <w:kern w:val="0"/>
          <w:sz w:val="28"/>
          <w:szCs w:val="28"/>
        </w:rPr>
        <w:t>安排专人负责。论文答辩资格初审工作将与培养单位绩效挂钩，研究生院在审定博士论文资格时如发现初审不符合要求，将直接影响培养单位年终绩效考核结果。</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各培养单位需敦促导师切实加强对学位论文的指导，要求</w:t>
      </w:r>
      <w:r>
        <w:rPr>
          <w:rFonts w:hint="eastAsia" w:ascii="宋体" w:hAnsi="宋体" w:cs="宋体"/>
          <w:color w:val="000000"/>
          <w:spacing w:val="15"/>
          <w:kern w:val="0"/>
          <w:sz w:val="28"/>
          <w:szCs w:val="28"/>
          <w:lang w:eastAsia="zh-CN"/>
        </w:rPr>
        <w:t>博士</w:t>
      </w:r>
      <w:r>
        <w:rPr>
          <w:rFonts w:hint="eastAsia" w:ascii="宋体" w:hAnsi="宋体" w:cs="宋体"/>
          <w:color w:val="000000"/>
          <w:spacing w:val="15"/>
          <w:kern w:val="0"/>
          <w:sz w:val="28"/>
          <w:szCs w:val="28"/>
        </w:rPr>
        <w:t>生按照论文格式要求撰写学位论文，严格要求</w:t>
      </w:r>
      <w:r>
        <w:rPr>
          <w:rFonts w:hint="eastAsia" w:ascii="宋体" w:hAnsi="宋体" w:cs="宋体"/>
          <w:color w:val="000000"/>
          <w:spacing w:val="15"/>
          <w:kern w:val="0"/>
          <w:sz w:val="28"/>
          <w:szCs w:val="28"/>
          <w:lang w:eastAsia="zh-CN"/>
        </w:rPr>
        <w:t>博士</w:t>
      </w:r>
      <w:r>
        <w:rPr>
          <w:rFonts w:hint="eastAsia" w:ascii="宋体" w:hAnsi="宋体" w:cs="宋体"/>
          <w:color w:val="000000"/>
          <w:spacing w:val="15"/>
          <w:kern w:val="0"/>
          <w:sz w:val="28"/>
          <w:szCs w:val="28"/>
        </w:rPr>
        <w:t>生遵守学术道德，</w:t>
      </w:r>
      <w:r>
        <w:rPr>
          <w:rFonts w:hint="eastAsia" w:ascii="宋体" w:hAnsi="宋体" w:cs="宋体"/>
          <w:color w:val="000000"/>
          <w:spacing w:val="15"/>
          <w:kern w:val="0"/>
          <w:sz w:val="28"/>
          <w:szCs w:val="28"/>
          <w:lang w:eastAsia="zh-CN"/>
        </w:rPr>
        <w:t>按规定进</w:t>
      </w:r>
      <w:r>
        <w:rPr>
          <w:rFonts w:hint="eastAsia" w:ascii="宋体" w:hAnsi="宋体" w:cs="宋体"/>
          <w:color w:val="000000"/>
          <w:spacing w:val="15"/>
          <w:kern w:val="0"/>
          <w:sz w:val="28"/>
          <w:szCs w:val="28"/>
        </w:rPr>
        <w:t xml:space="preserve">行学位论文“学术不端行为检测”。 </w:t>
      </w:r>
    </w:p>
    <w:p>
      <w:pPr>
        <w:widowControl/>
        <w:numPr>
          <w:ilvl w:val="0"/>
          <w:numId w:val="0"/>
        </w:numPr>
        <w:adjustRightInd w:val="0"/>
        <w:snapToGrid w:val="0"/>
        <w:spacing w:line="500" w:lineRule="exact"/>
        <w:ind w:firstLine="622" w:firstLineChars="200"/>
        <w:jc w:val="left"/>
        <w:rPr>
          <w:rFonts w:hint="eastAsia" w:ascii="宋体" w:hAnsi="宋体" w:eastAsia="宋体" w:cs="宋体"/>
          <w:b w:val="0"/>
          <w:bCs w:val="0"/>
          <w:color w:val="auto"/>
          <w:spacing w:val="15"/>
          <w:kern w:val="0"/>
          <w:sz w:val="28"/>
          <w:szCs w:val="28"/>
          <w:highlight w:val="none"/>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各培养单位博士学位论文答辩资格认定科研成果不低于学校规定的要求（见《武汉大学关于博士研究生申请学位资格论文的暂行规定》武大研字［2013］13号）。</w:t>
      </w:r>
      <w:r>
        <w:rPr>
          <w:rFonts w:hint="eastAsia" w:ascii="宋体" w:hAnsi="宋体" w:cs="宋体"/>
          <w:color w:val="000000"/>
          <w:spacing w:val="15"/>
          <w:kern w:val="0"/>
          <w:sz w:val="28"/>
          <w:szCs w:val="28"/>
          <w:lang w:eastAsia="zh-CN"/>
        </w:rPr>
        <w:t>原则上只有</w:t>
      </w:r>
      <w:r>
        <w:rPr>
          <w:rFonts w:hint="eastAsia" w:ascii="宋体" w:hAnsi="宋体" w:cs="宋体"/>
          <w:color w:val="000000"/>
          <w:spacing w:val="15"/>
          <w:kern w:val="0"/>
          <w:sz w:val="28"/>
          <w:szCs w:val="28"/>
        </w:rPr>
        <w:t>SCI、EI、SSCI、A&amp;HCI等源刊论文才能认定为答辩资格论文（</w:t>
      </w:r>
      <w:r>
        <w:rPr>
          <w:rFonts w:hint="eastAsia" w:ascii="宋体" w:hAnsi="宋体" w:cs="宋体"/>
          <w:color w:val="000000"/>
          <w:spacing w:val="15"/>
          <w:kern w:val="0"/>
          <w:sz w:val="28"/>
          <w:szCs w:val="28"/>
          <w:lang w:eastAsia="zh-CN"/>
        </w:rPr>
        <w:t>所有资格</w:t>
      </w:r>
      <w:r>
        <w:rPr>
          <w:rFonts w:hint="eastAsia" w:ascii="宋体" w:hAnsi="宋体" w:cs="宋体"/>
          <w:color w:val="000000"/>
          <w:spacing w:val="15"/>
          <w:kern w:val="0"/>
          <w:sz w:val="28"/>
          <w:szCs w:val="28"/>
        </w:rPr>
        <w:t>论文需在图书馆开具检索报告）。</w:t>
      </w:r>
      <w:r>
        <w:rPr>
          <w:rFonts w:hint="eastAsia" w:ascii="宋体" w:hAnsi="宋体" w:eastAsia="宋体" w:cs="宋体"/>
          <w:b w:val="0"/>
          <w:bCs w:val="0"/>
          <w:color w:val="auto"/>
          <w:spacing w:val="15"/>
          <w:kern w:val="0"/>
          <w:sz w:val="28"/>
          <w:szCs w:val="28"/>
          <w:highlight w:val="none"/>
          <w:lang w:eastAsia="zh-CN"/>
        </w:rPr>
        <w:t>另对文件部分条款做补充规定</w:t>
      </w:r>
      <w:r>
        <w:rPr>
          <w:rFonts w:hint="eastAsia" w:ascii="宋体" w:hAnsi="宋体" w:eastAsia="宋体" w:cs="宋体"/>
          <w:b w:val="0"/>
          <w:bCs w:val="0"/>
          <w:color w:val="auto"/>
          <w:spacing w:val="15"/>
          <w:kern w:val="0"/>
          <w:sz w:val="28"/>
          <w:szCs w:val="28"/>
          <w:highlight w:val="none"/>
          <w:lang w:val="en-US" w:eastAsia="zh-CN"/>
        </w:rPr>
        <w:t>:1.专著不包括编著和译著；2.学术论文及其他成果第一署名单位均应是武汉大学</w:t>
      </w:r>
      <w:r>
        <w:rPr>
          <w:rFonts w:hint="eastAsia" w:ascii="宋体" w:hAnsi="宋体" w:eastAsia="宋体" w:cs="宋体"/>
          <w:b w:val="0"/>
          <w:bCs w:val="0"/>
          <w:color w:val="auto"/>
          <w:spacing w:val="15"/>
          <w:kern w:val="0"/>
          <w:sz w:val="28"/>
          <w:szCs w:val="28"/>
          <w:highlight w:val="none"/>
          <w:lang w:eastAsia="zh-CN"/>
        </w:rPr>
        <w:t>。</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（四）</w:t>
      </w:r>
      <w:r>
        <w:rPr>
          <w:rFonts w:hint="eastAsia" w:ascii="宋体" w:hAnsi="宋体" w:cs="宋体"/>
          <w:color w:val="000000"/>
          <w:spacing w:val="15"/>
          <w:kern w:val="0"/>
          <w:sz w:val="28"/>
          <w:szCs w:val="28"/>
          <w:highlight w:val="none"/>
        </w:rPr>
        <w:t>201</w:t>
      </w:r>
      <w:r>
        <w:rPr>
          <w:rFonts w:hint="eastAsia" w:ascii="宋体" w:hAnsi="宋体" w:cs="宋体"/>
          <w:color w:val="000000"/>
          <w:spacing w:val="15"/>
          <w:kern w:val="0"/>
          <w:sz w:val="28"/>
          <w:szCs w:val="28"/>
          <w:highlight w:val="none"/>
          <w:lang w:val="en-US" w:eastAsia="zh-CN"/>
        </w:rPr>
        <w:t>9</w:t>
      </w:r>
      <w:r>
        <w:rPr>
          <w:rFonts w:hint="eastAsia" w:ascii="宋体" w:hAnsi="宋体" w:cs="宋体"/>
          <w:color w:val="000000"/>
          <w:spacing w:val="15"/>
          <w:kern w:val="0"/>
          <w:sz w:val="28"/>
          <w:szCs w:val="28"/>
          <w:highlight w:val="none"/>
        </w:rPr>
        <w:t>年</w:t>
      </w:r>
      <w:r>
        <w:rPr>
          <w:rFonts w:hint="eastAsia" w:ascii="宋体" w:hAnsi="宋体" w:cs="宋体"/>
          <w:color w:val="000000"/>
          <w:spacing w:val="15"/>
          <w:kern w:val="0"/>
          <w:sz w:val="28"/>
          <w:szCs w:val="28"/>
        </w:rPr>
        <w:t>校学位评定委员会将对研究生申请学位档案材料进行随机抽查，包括纸质档案和研究生管理系统中的各项内容，抽查幅度不低于</w:t>
      </w:r>
      <w:r>
        <w:rPr>
          <w:rFonts w:ascii="宋体" w:hAnsi="宋体" w:cs="宋体"/>
          <w:color w:val="000000"/>
          <w:spacing w:val="15"/>
          <w:kern w:val="0"/>
          <w:sz w:val="28"/>
          <w:szCs w:val="28"/>
        </w:rPr>
        <w:t>10%</w:t>
      </w:r>
      <w:r>
        <w:rPr>
          <w:rFonts w:hint="eastAsia" w:ascii="宋体" w:hAnsi="宋体" w:cs="宋体"/>
          <w:color w:val="000000"/>
          <w:spacing w:val="15"/>
          <w:kern w:val="0"/>
          <w:sz w:val="28"/>
          <w:szCs w:val="28"/>
          <w:lang w:eastAsia="zh-CN"/>
        </w:rPr>
        <w:t>。</w:t>
      </w:r>
      <w:r>
        <w:rPr>
          <w:rFonts w:hint="eastAsia" w:ascii="宋体" w:hAnsi="宋体" w:cs="宋体"/>
          <w:color w:val="000000"/>
          <w:spacing w:val="15"/>
          <w:kern w:val="0"/>
          <w:sz w:val="28"/>
          <w:szCs w:val="28"/>
        </w:rPr>
        <w:t>请各相关单位高度重视该工作，</w:t>
      </w:r>
      <w:r>
        <w:rPr>
          <w:rFonts w:hint="eastAsia" w:ascii="宋体" w:hAnsi="宋体" w:cs="宋体"/>
          <w:color w:val="000000"/>
          <w:spacing w:val="15"/>
          <w:kern w:val="0"/>
          <w:sz w:val="28"/>
          <w:szCs w:val="28"/>
          <w:lang w:val="en-US" w:eastAsia="zh-CN"/>
        </w:rPr>
        <w:t>特别是</w:t>
      </w:r>
      <w:r>
        <w:rPr>
          <w:rFonts w:hint="eastAsia" w:ascii="宋体" w:hAnsi="宋体" w:cs="宋体"/>
          <w:color w:val="000000"/>
          <w:spacing w:val="15"/>
          <w:kern w:val="0"/>
          <w:sz w:val="28"/>
          <w:szCs w:val="28"/>
        </w:rPr>
        <w:t>保证</w:t>
      </w:r>
      <w:r>
        <w:rPr>
          <w:rFonts w:hint="eastAsia" w:ascii="宋体" w:hAnsi="宋体" w:cs="宋体"/>
          <w:color w:val="000000"/>
          <w:spacing w:val="15"/>
          <w:kern w:val="0"/>
          <w:sz w:val="28"/>
          <w:szCs w:val="28"/>
          <w:lang w:eastAsia="zh-CN"/>
        </w:rPr>
        <w:t>资格论文等</w:t>
      </w:r>
      <w:r>
        <w:rPr>
          <w:rFonts w:hint="eastAsia" w:ascii="宋体" w:hAnsi="宋体" w:cs="宋体"/>
          <w:color w:val="000000"/>
          <w:spacing w:val="15"/>
          <w:kern w:val="0"/>
          <w:sz w:val="28"/>
          <w:szCs w:val="28"/>
        </w:rPr>
        <w:t>各项内容的完整性与准确性。</w:t>
      </w:r>
    </w:p>
    <w:p>
      <w:pPr>
        <w:widowControl/>
        <w:adjustRightInd w:val="0"/>
        <w:snapToGrid w:val="0"/>
        <w:spacing w:line="500" w:lineRule="exact"/>
        <w:ind w:firstLine="620" w:firstLineChars="200"/>
        <w:jc w:val="left"/>
        <w:rPr>
          <w:rFonts w:hint="eastAsia" w:ascii="宋体" w:hAnsi="宋体" w:cs="宋体"/>
          <w:color w:val="000000"/>
          <w:spacing w:val="15"/>
          <w:kern w:val="0"/>
          <w:sz w:val="28"/>
          <w:szCs w:val="28"/>
        </w:rPr>
      </w:pP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bookmarkStart w:id="0" w:name="_GoBack"/>
      <w:bookmarkEnd w:id="0"/>
      <w:r>
        <w:rPr>
          <w:rFonts w:hint="eastAsia" w:ascii="宋体" w:hAnsi="宋体" w:cs="宋体"/>
          <w:color w:val="000000"/>
          <w:spacing w:val="15"/>
          <w:kern w:val="0"/>
          <w:sz w:val="28"/>
          <w:szCs w:val="28"/>
        </w:rPr>
        <w:t>特此通知</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联系电话：68754152</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联系地址：研究生院217办公室</w:t>
      </w:r>
    </w:p>
    <w:p>
      <w:pPr>
        <w:widowControl/>
        <w:adjustRightInd w:val="0"/>
        <w:snapToGrid w:val="0"/>
        <w:spacing w:line="500" w:lineRule="exact"/>
        <w:ind w:firstLine="622" w:firstLineChars="200"/>
        <w:jc w:val="center"/>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lang w:val="en-US" w:eastAsia="zh-CN"/>
        </w:rPr>
        <w:t xml:space="preserve">                           </w:t>
      </w:r>
      <w:r>
        <w:rPr>
          <w:rFonts w:hint="eastAsia" w:ascii="宋体" w:hAnsi="宋体" w:cs="宋体"/>
          <w:b/>
          <w:bCs/>
          <w:color w:val="000000"/>
          <w:spacing w:val="15"/>
          <w:kern w:val="0"/>
          <w:sz w:val="28"/>
          <w:szCs w:val="28"/>
        </w:rPr>
        <w:t>研究生院学位</w:t>
      </w:r>
      <w:r>
        <w:rPr>
          <w:rFonts w:hint="eastAsia" w:ascii="宋体" w:hAnsi="宋体" w:cs="宋体"/>
          <w:b/>
          <w:bCs/>
          <w:color w:val="000000"/>
          <w:spacing w:val="15"/>
          <w:kern w:val="0"/>
          <w:sz w:val="28"/>
          <w:szCs w:val="28"/>
          <w:lang w:eastAsia="zh-CN"/>
        </w:rPr>
        <w:t>工作</w:t>
      </w:r>
      <w:r>
        <w:rPr>
          <w:rFonts w:hint="eastAsia" w:ascii="宋体" w:hAnsi="宋体" w:cs="宋体"/>
          <w:b/>
          <w:bCs/>
          <w:color w:val="000000"/>
          <w:spacing w:val="15"/>
          <w:kern w:val="0"/>
          <w:sz w:val="28"/>
          <w:szCs w:val="28"/>
        </w:rPr>
        <w:t>处</w:t>
      </w:r>
    </w:p>
    <w:p>
      <w:pPr>
        <w:widowControl/>
        <w:adjustRightInd w:val="0"/>
        <w:snapToGrid w:val="0"/>
        <w:spacing w:line="500" w:lineRule="exact"/>
        <w:ind w:firstLine="622" w:firstLineChars="200"/>
        <w:jc w:val="center"/>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highlight w:val="none"/>
          <w:lang w:val="en-US" w:eastAsia="zh-CN"/>
        </w:rPr>
        <w:t xml:space="preserve">                          </w:t>
      </w:r>
      <w:r>
        <w:rPr>
          <w:rFonts w:hint="eastAsia" w:ascii="宋体" w:hAnsi="宋体" w:cs="宋体"/>
          <w:b/>
          <w:bCs/>
          <w:color w:val="000000"/>
          <w:spacing w:val="15"/>
          <w:kern w:val="0"/>
          <w:sz w:val="28"/>
          <w:szCs w:val="28"/>
          <w:highlight w:val="none"/>
        </w:rPr>
        <w:t>201</w:t>
      </w:r>
      <w:r>
        <w:rPr>
          <w:rFonts w:hint="eastAsia" w:ascii="宋体" w:hAnsi="宋体" w:cs="宋体"/>
          <w:b/>
          <w:bCs/>
          <w:color w:val="000000"/>
          <w:spacing w:val="15"/>
          <w:kern w:val="0"/>
          <w:sz w:val="28"/>
          <w:szCs w:val="28"/>
          <w:highlight w:val="none"/>
          <w:lang w:val="en-US" w:eastAsia="zh-CN"/>
        </w:rPr>
        <w:t>9</w:t>
      </w:r>
      <w:r>
        <w:rPr>
          <w:rFonts w:hint="eastAsia" w:ascii="宋体" w:hAnsi="宋体" w:cs="宋体"/>
          <w:b/>
          <w:bCs/>
          <w:color w:val="000000"/>
          <w:spacing w:val="15"/>
          <w:kern w:val="0"/>
          <w:sz w:val="28"/>
          <w:szCs w:val="28"/>
        </w:rPr>
        <w:t>年</w:t>
      </w:r>
      <w:r>
        <w:rPr>
          <w:rFonts w:hint="eastAsia" w:ascii="宋体" w:hAnsi="宋体" w:cs="宋体"/>
          <w:b/>
          <w:bCs/>
          <w:color w:val="000000"/>
          <w:spacing w:val="15"/>
          <w:kern w:val="0"/>
          <w:sz w:val="28"/>
          <w:szCs w:val="28"/>
          <w:lang w:val="en-US" w:eastAsia="zh-CN"/>
        </w:rPr>
        <w:t>3</w:t>
      </w:r>
      <w:r>
        <w:rPr>
          <w:rFonts w:hint="eastAsia" w:ascii="宋体" w:hAnsi="宋体" w:cs="宋体"/>
          <w:b/>
          <w:bCs/>
          <w:color w:val="000000"/>
          <w:spacing w:val="15"/>
          <w:kern w:val="0"/>
          <w:sz w:val="28"/>
          <w:szCs w:val="28"/>
        </w:rPr>
        <w:t>月</w:t>
      </w:r>
      <w:r>
        <w:rPr>
          <w:rFonts w:hint="eastAsia" w:ascii="宋体" w:hAnsi="宋体" w:cs="宋体"/>
          <w:b/>
          <w:bCs/>
          <w:color w:val="000000"/>
          <w:spacing w:val="15"/>
          <w:kern w:val="0"/>
          <w:sz w:val="28"/>
          <w:szCs w:val="28"/>
          <w:lang w:val="en-US" w:eastAsia="zh-CN"/>
        </w:rPr>
        <w:t>11</w:t>
      </w:r>
      <w:r>
        <w:rPr>
          <w:rFonts w:hint="eastAsia" w:ascii="宋体" w:hAnsi="宋体" w:cs="宋体"/>
          <w:b/>
          <w:bCs/>
          <w:color w:val="000000"/>
          <w:spacing w:val="15"/>
          <w:kern w:val="0"/>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CC"/>
    <w:rsid w:val="00067DEB"/>
    <w:rsid w:val="001208C9"/>
    <w:rsid w:val="001359D9"/>
    <w:rsid w:val="002B495C"/>
    <w:rsid w:val="003560D9"/>
    <w:rsid w:val="004F26E9"/>
    <w:rsid w:val="005B7CFF"/>
    <w:rsid w:val="006E6A80"/>
    <w:rsid w:val="008052CC"/>
    <w:rsid w:val="00A93259"/>
    <w:rsid w:val="00C76C6C"/>
    <w:rsid w:val="02AE19A3"/>
    <w:rsid w:val="04F77E70"/>
    <w:rsid w:val="053524A9"/>
    <w:rsid w:val="06DB6BA3"/>
    <w:rsid w:val="08B46D23"/>
    <w:rsid w:val="09527269"/>
    <w:rsid w:val="0ABB7073"/>
    <w:rsid w:val="0AE012EE"/>
    <w:rsid w:val="0C115B45"/>
    <w:rsid w:val="14E57079"/>
    <w:rsid w:val="15CB7241"/>
    <w:rsid w:val="19671AF4"/>
    <w:rsid w:val="198D30D8"/>
    <w:rsid w:val="1F674CAB"/>
    <w:rsid w:val="224B4994"/>
    <w:rsid w:val="23FA7219"/>
    <w:rsid w:val="25A910EF"/>
    <w:rsid w:val="26F111B8"/>
    <w:rsid w:val="2D106A26"/>
    <w:rsid w:val="2DE7169F"/>
    <w:rsid w:val="2E253659"/>
    <w:rsid w:val="2F0E128E"/>
    <w:rsid w:val="334916FC"/>
    <w:rsid w:val="349F5DFA"/>
    <w:rsid w:val="34CA643D"/>
    <w:rsid w:val="36A7132A"/>
    <w:rsid w:val="3FD2709C"/>
    <w:rsid w:val="4080463E"/>
    <w:rsid w:val="42BA4FE3"/>
    <w:rsid w:val="44E228E8"/>
    <w:rsid w:val="46E3292A"/>
    <w:rsid w:val="4BFD5F3C"/>
    <w:rsid w:val="4D556D9B"/>
    <w:rsid w:val="4D934D17"/>
    <w:rsid w:val="5009378E"/>
    <w:rsid w:val="520318D4"/>
    <w:rsid w:val="53241E52"/>
    <w:rsid w:val="57537C71"/>
    <w:rsid w:val="59FE082F"/>
    <w:rsid w:val="5EBF2CAA"/>
    <w:rsid w:val="5FC21A6C"/>
    <w:rsid w:val="65B47136"/>
    <w:rsid w:val="676F4E00"/>
    <w:rsid w:val="686A7FBD"/>
    <w:rsid w:val="6B7038C4"/>
    <w:rsid w:val="6EEB0DA8"/>
    <w:rsid w:val="6F4077A6"/>
    <w:rsid w:val="711023C1"/>
    <w:rsid w:val="7986755D"/>
    <w:rsid w:val="7EED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kern w:val="0"/>
      <w:sz w:val="24"/>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FollowedHyperlink"/>
    <w:basedOn w:val="8"/>
    <w:qFormat/>
    <w:uiPriority w:val="0"/>
    <w:rPr>
      <w:color w:val="666666"/>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666666"/>
      <w:u w:val="none"/>
    </w:rPr>
  </w:style>
  <w:style w:type="character" w:styleId="14">
    <w:name w:val="HTML Code"/>
    <w:basedOn w:val="8"/>
    <w:qFormat/>
    <w:uiPriority w:val="0"/>
    <w:rPr>
      <w:rFonts w:ascii="Courier New" w:hAnsi="Courier New"/>
      <w:sz w:val="20"/>
    </w:rPr>
  </w:style>
  <w:style w:type="character" w:styleId="15">
    <w:name w:val="HTML Cite"/>
    <w:basedOn w:val="8"/>
    <w:qFormat/>
    <w:uiPriority w:val="0"/>
  </w:style>
  <w:style w:type="character" w:customStyle="1" w:styleId="16">
    <w:name w:val="text"/>
    <w:basedOn w:val="8"/>
    <w:qFormat/>
    <w:uiPriority w:val="0"/>
  </w:style>
  <w:style w:type="paragraph" w:customStyle="1" w:styleId="17">
    <w:name w:val="news_time"/>
    <w:basedOn w:val="1"/>
    <w:qFormat/>
    <w:uiPriority w:val="0"/>
    <w:pPr>
      <w:spacing w:line="450" w:lineRule="atLeast"/>
      <w:jc w:val="center"/>
    </w:pPr>
    <w:rPr>
      <w:rFonts w:cs="Times New Roman"/>
      <w:color w:val="A4A4A4"/>
      <w:kern w:val="0"/>
    </w:rPr>
  </w:style>
  <w:style w:type="character" w:customStyle="1" w:styleId="18">
    <w:name w:val="页眉 Char"/>
    <w:basedOn w:val="8"/>
    <w:link w:val="5"/>
    <w:qFormat/>
    <w:uiPriority w:val="0"/>
    <w:rPr>
      <w:rFonts w:asciiTheme="minorHAnsi" w:hAnsiTheme="minorHAnsi" w:eastAsiaTheme="minorEastAsia" w:cstheme="minorBidi"/>
      <w:kern w:val="2"/>
      <w:sz w:val="18"/>
      <w:szCs w:val="18"/>
    </w:rPr>
  </w:style>
  <w:style w:type="character" w:customStyle="1" w:styleId="19">
    <w:name w:val="页脚 Char"/>
    <w:basedOn w:val="8"/>
    <w:link w:val="4"/>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148</Words>
  <Characters>847</Characters>
  <Lines>7</Lines>
  <Paragraphs>1</Paragraphs>
  <TotalTime>1</TotalTime>
  <ScaleCrop>false</ScaleCrop>
  <LinksUpToDate>false</LinksUpToDate>
  <CharactersWithSpaces>994</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李洋</cp:lastModifiedBy>
  <cp:lastPrinted>2019-03-06T07:15:00Z</cp:lastPrinted>
  <dcterms:modified xsi:type="dcterms:W3CDTF">2019-03-11T01:32:23Z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